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B18" w:rsidRDefault="00FB6B18" w:rsidP="00FB6B18">
      <w:pPr>
        <w:pStyle w:val="ConsNormal"/>
        <w:widowControl/>
        <w:ind w:firstLine="0"/>
        <w:jc w:val="center"/>
      </w:pPr>
      <w:r>
        <w:t>II. Требования к ПЭВМ</w:t>
      </w:r>
    </w:p>
    <w:p w:rsidR="00FB6B18" w:rsidRDefault="00FB6B18" w:rsidP="00FB6B18">
      <w:pPr>
        <w:pStyle w:val="ConsNonformat"/>
        <w:widowControl/>
      </w:pPr>
    </w:p>
    <w:p w:rsidR="00FB6B18" w:rsidRDefault="00FB6B18" w:rsidP="00FB6B18">
      <w:pPr>
        <w:pStyle w:val="ConsNormal"/>
        <w:widowControl/>
        <w:ind w:firstLine="540"/>
        <w:jc w:val="both"/>
      </w:pPr>
      <w:r>
        <w:t xml:space="preserve">2.1. ПЭВМ должны соответствовать требованиям настоящих Санитарных </w:t>
      </w:r>
      <w:proofErr w:type="gramStart"/>
      <w:r>
        <w:t>правил</w:t>
      </w:r>
      <w:proofErr w:type="gramEnd"/>
      <w:r>
        <w:t xml:space="preserve"> и каждый их тип подлежит санитарно-эпидемиологической экспертизе с оценкой в испытательных лабораториях, аккредитованных в установленном порядке.</w:t>
      </w:r>
    </w:p>
    <w:p w:rsidR="00FB6B18" w:rsidRDefault="00FB6B18" w:rsidP="00FB6B18">
      <w:pPr>
        <w:pStyle w:val="ConsNormal"/>
        <w:widowControl/>
        <w:ind w:firstLine="540"/>
        <w:jc w:val="both"/>
      </w:pPr>
      <w:r>
        <w:t>2.2. Перечень продукции и контролируемых гигиенических параметров вредных и опасных факторов представлен в приложении 1 (таблица 1).</w:t>
      </w:r>
    </w:p>
    <w:p w:rsidR="00FB6B18" w:rsidRDefault="00FB6B18" w:rsidP="00FB6B18">
      <w:pPr>
        <w:pStyle w:val="ConsNormal"/>
        <w:widowControl/>
        <w:ind w:firstLine="540"/>
        <w:jc w:val="both"/>
      </w:pPr>
      <w:r>
        <w:t>2.3. Допустимые уровни звукового давления и уровней звука, создаваемого ПЭВМ, не должны превышать значений, представленных в приложении 1 (таблица 2).</w:t>
      </w:r>
    </w:p>
    <w:p w:rsidR="00FB6B18" w:rsidRDefault="00FB6B18" w:rsidP="00FB6B18">
      <w:pPr>
        <w:pStyle w:val="ConsNormal"/>
        <w:widowControl/>
        <w:ind w:firstLine="540"/>
        <w:jc w:val="both"/>
      </w:pPr>
      <w:r>
        <w:t>2.4. Временные допустимые уровни электромагнитных полей (ЭМП), создаваемых ПЭВМ, не должны превышать значений, представленных в приложении 1 (таблица 3).</w:t>
      </w:r>
    </w:p>
    <w:p w:rsidR="00FB6B18" w:rsidRDefault="00FB6B18" w:rsidP="00FB6B18">
      <w:pPr>
        <w:pStyle w:val="ConsNormal"/>
        <w:widowControl/>
        <w:ind w:firstLine="540"/>
        <w:jc w:val="both"/>
      </w:pPr>
      <w:r>
        <w:t>2.5. Допустимые визуальные параметры устройств отображения информации представлены в приложении 1 (таблица 4).</w:t>
      </w:r>
    </w:p>
    <w:p w:rsidR="00FB6B18" w:rsidRDefault="00FB6B18" w:rsidP="00FB6B18">
      <w:pPr>
        <w:pStyle w:val="ConsNormal"/>
        <w:widowControl/>
        <w:ind w:firstLine="540"/>
        <w:jc w:val="both"/>
      </w:pPr>
      <w:r>
        <w:t>2.6. Концентрации вредных веществ, выделяемых ПЭВМ в воздух помещений, не должны превышать предельно допустимых концентраций (ПДК), установленных для атмосферного воздуха.</w:t>
      </w:r>
    </w:p>
    <w:p w:rsidR="00FB6B18" w:rsidRDefault="00FB6B18" w:rsidP="00FB6B18">
      <w:pPr>
        <w:pStyle w:val="ConsNormal"/>
        <w:widowControl/>
        <w:ind w:firstLine="540"/>
        <w:jc w:val="both"/>
      </w:pPr>
      <w:r>
        <w:t xml:space="preserve">2.7. Мощность экспозиционной дозы мягкого рентгеновского излучения в любой точке на расстоянии 0,05 м от экрана и корпуса ВДТ (на электронно-лучевой трубке) при любых положениях регулировочных устройств не должна превышать 1 </w:t>
      </w:r>
      <w:proofErr w:type="spellStart"/>
      <w:r>
        <w:t>мкЗв</w:t>
      </w:r>
      <w:proofErr w:type="spellEnd"/>
      <w:r>
        <w:t xml:space="preserve">/час (100 </w:t>
      </w:r>
      <w:proofErr w:type="spellStart"/>
      <w:r>
        <w:t>мкР</w:t>
      </w:r>
      <w:proofErr w:type="spellEnd"/>
      <w:r>
        <w:t>/час).</w:t>
      </w:r>
    </w:p>
    <w:p w:rsidR="00FB6B18" w:rsidRDefault="00FB6B18" w:rsidP="00FB6B18">
      <w:pPr>
        <w:pStyle w:val="ConsNormal"/>
        <w:widowControl/>
        <w:ind w:firstLine="540"/>
        <w:jc w:val="both"/>
      </w:pPr>
      <w:r>
        <w:t>2.8. Конструкция ПЭВМ должна обеспечивать возможность поворота корпуса в горизонтальной и вертикальной плоскости с фиксацией в заданном положении для обеспечения фронтального наблюдения экрана ВДТ. Дизайн ПЭВМ должен предусматривать окраску корпуса в спокойные мягкие тона с диффузным рассеиванием света. Корпус ПЭВМ, клавиатура и другие блоки и устройства ПЭВМ должны иметь матовую поверхность с коэффициентом отражения 0,4 - 0,6 и не иметь блестящих деталей, способных создавать блики.</w:t>
      </w:r>
    </w:p>
    <w:p w:rsidR="00FB6B18" w:rsidRDefault="00FB6B18" w:rsidP="00FB6B18">
      <w:pPr>
        <w:pStyle w:val="ConsNormal"/>
        <w:widowControl/>
        <w:ind w:firstLine="540"/>
        <w:jc w:val="both"/>
      </w:pPr>
      <w:r>
        <w:t>2.9. Конструкция ВДТ должна предусматривать регулирование яркости и контрастности.</w:t>
      </w:r>
    </w:p>
    <w:p w:rsidR="00FB6B18" w:rsidRDefault="00FB6B18" w:rsidP="00FB6B18">
      <w:pPr>
        <w:pStyle w:val="ConsNormal"/>
        <w:widowControl/>
        <w:ind w:firstLine="540"/>
        <w:jc w:val="both"/>
      </w:pPr>
      <w:r>
        <w:t>2.10. Документация на проектирование, изготовление и эксплуатацию ПЭВМ не должна противоречить требованиям настоящих санитарных правил.</w:t>
      </w:r>
    </w:p>
    <w:p w:rsidR="00FB6B18" w:rsidRDefault="00FB6B18" w:rsidP="00FB6B18">
      <w:pPr>
        <w:pStyle w:val="ConsNormal"/>
        <w:widowControl/>
        <w:ind w:firstLine="0"/>
        <w:jc w:val="right"/>
      </w:pPr>
    </w:p>
    <w:p w:rsidR="00FB6B18" w:rsidRDefault="00FB6B18" w:rsidP="00FB6B18">
      <w:pPr>
        <w:pStyle w:val="ConsNormal"/>
        <w:widowControl/>
        <w:ind w:firstLine="0"/>
        <w:jc w:val="right"/>
      </w:pPr>
      <w:r>
        <w:t>Приложение 1</w:t>
      </w:r>
    </w:p>
    <w:p w:rsidR="00FB6B18" w:rsidRDefault="00FB6B18" w:rsidP="00FB6B18">
      <w:pPr>
        <w:pStyle w:val="ConsNormal"/>
        <w:widowControl/>
        <w:ind w:firstLine="0"/>
        <w:jc w:val="right"/>
      </w:pPr>
      <w:r>
        <w:t xml:space="preserve">к </w:t>
      </w:r>
      <w:proofErr w:type="spellStart"/>
      <w:r>
        <w:t>СанПиН</w:t>
      </w:r>
      <w:proofErr w:type="spellEnd"/>
      <w:r>
        <w:t xml:space="preserve"> 2.2.2/2.4.1340-03</w:t>
      </w:r>
    </w:p>
    <w:p w:rsidR="00FB6B18" w:rsidRDefault="00FB6B18" w:rsidP="00FB6B18">
      <w:pPr>
        <w:pStyle w:val="ConsNonformat"/>
        <w:widowControl/>
      </w:pPr>
    </w:p>
    <w:p w:rsidR="00FB6B18" w:rsidRDefault="00FB6B18" w:rsidP="00FB6B18">
      <w:pPr>
        <w:pStyle w:val="ConsNormal"/>
        <w:widowControl/>
        <w:ind w:firstLine="0"/>
        <w:jc w:val="right"/>
      </w:pPr>
      <w:r>
        <w:t>Таблица 1</w:t>
      </w:r>
    </w:p>
    <w:p w:rsidR="00FB6B18" w:rsidRDefault="00FB6B18" w:rsidP="00FB6B18">
      <w:pPr>
        <w:pStyle w:val="ConsNonformat"/>
        <w:widowControl/>
      </w:pPr>
    </w:p>
    <w:p w:rsidR="00FB6B18" w:rsidRDefault="00FB6B18" w:rsidP="00FB6B18">
      <w:pPr>
        <w:pStyle w:val="ConsNormal"/>
        <w:widowControl/>
        <w:ind w:firstLine="0"/>
        <w:jc w:val="center"/>
      </w:pPr>
      <w:r>
        <w:t>Перечень</w:t>
      </w:r>
    </w:p>
    <w:p w:rsidR="00FB6B18" w:rsidRDefault="00FB6B18" w:rsidP="00FB6B18">
      <w:pPr>
        <w:pStyle w:val="ConsNormal"/>
        <w:widowControl/>
        <w:ind w:firstLine="0"/>
        <w:jc w:val="center"/>
      </w:pPr>
      <w:r>
        <w:t>продукции и контролируемые гигиенические параметры</w:t>
      </w:r>
    </w:p>
    <w:tbl>
      <w:tblPr>
        <w:tblW w:w="1077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996"/>
        <w:gridCol w:w="993"/>
        <w:gridCol w:w="5244"/>
      </w:tblGrid>
      <w:tr w:rsidR="00FB6B18" w:rsidTr="00D21E59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Вид продукции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Код ОКП 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>Контролируемые гигиенические</w:t>
            </w:r>
            <w:r>
              <w:br/>
              <w:t xml:space="preserve">параметры         </w:t>
            </w:r>
          </w:p>
        </w:tc>
      </w:tr>
      <w:tr w:rsidR="00FB6B18" w:rsidTr="00D21E59">
        <w:trPr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1 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Машины вычислительные электронные цифровые, машины вычислительные электронные  цифровые персональные (включая портативные ЭВМ)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40 1300, </w:t>
            </w:r>
            <w:r>
              <w:br/>
              <w:t xml:space="preserve">40 1350, </w:t>
            </w:r>
            <w:r>
              <w:br/>
              <w:t xml:space="preserve">40 1370  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Уровни      электромагнитных полей  (ЭМП),  акустического шума, концентрация   вредных веществ в   воздухе, визуальные  показатели  ВДТ, мягкое   рентгеновское излучение &lt;*&gt;           </w:t>
            </w:r>
          </w:p>
        </w:tc>
      </w:tr>
      <w:tr w:rsidR="00FB6B18" w:rsidTr="00D21E59">
        <w:trPr>
          <w:trHeight w:val="6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2 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Устройства   периферийные:  принтеры,  сканеры, модемы,  сетевые устройства,  блоки бесперебойного питания и т.д.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40 3000  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Уровни ЭМП,    акустического шума,  концентрация  вредных веществ в воздухе           </w:t>
            </w:r>
          </w:p>
        </w:tc>
      </w:tr>
      <w:tr w:rsidR="00FB6B18" w:rsidTr="00D21E59">
        <w:trPr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3 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>Устройства   отображения  информации    (</w:t>
            </w:r>
            <w:proofErr w:type="spellStart"/>
            <w:r>
              <w:t>видеодисплейные</w:t>
            </w:r>
            <w:proofErr w:type="spellEnd"/>
            <w:r>
              <w:t xml:space="preserve">   терминалы)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40 3200  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Уровни ЭМП, визуальные показатели, концентрация вредных веществ  в  воздухе, мягкое     рентгеновское излучение &lt;*&gt;               </w:t>
            </w:r>
          </w:p>
        </w:tc>
      </w:tr>
      <w:tr w:rsidR="00FB6B18" w:rsidTr="00D21E59">
        <w:trPr>
          <w:trHeight w:val="66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4 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Автоматы игровые    с использованием ПЭВМ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96 8575  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>Уровни ЭМП  акустического шума,  концентрация  вредных веществ  в   воздухе, визуальные  показатели  ВДТ, мягкое рентгеновское излучение &lt;*&gt;</w:t>
            </w:r>
          </w:p>
        </w:tc>
      </w:tr>
    </w:tbl>
    <w:p w:rsidR="00FB6B18" w:rsidRDefault="00FB6B18" w:rsidP="00FB6B18">
      <w:pPr>
        <w:pStyle w:val="ConsNonformat"/>
        <w:widowControl/>
        <w:jc w:val="both"/>
      </w:pPr>
      <w:r>
        <w:t>--------------------------------</w:t>
      </w:r>
    </w:p>
    <w:p w:rsidR="00FB6B18" w:rsidRDefault="00FB6B18" w:rsidP="00FB6B18">
      <w:pPr>
        <w:pStyle w:val="ConsNormal"/>
        <w:widowControl/>
        <w:ind w:firstLine="540"/>
        <w:jc w:val="both"/>
      </w:pPr>
      <w:r>
        <w:t xml:space="preserve">&lt;*&gt; Контроль мягкого рентгеновского излучения осуществляется только для </w:t>
      </w:r>
      <w:proofErr w:type="spellStart"/>
      <w:r>
        <w:t>видеодисплейных</w:t>
      </w:r>
      <w:proofErr w:type="spellEnd"/>
      <w:r>
        <w:t xml:space="preserve"> терминалов с использованием электронно-лучевых трубок.</w:t>
      </w:r>
    </w:p>
    <w:p w:rsidR="00FB6B18" w:rsidRDefault="00FB6B18" w:rsidP="00FB6B18">
      <w:pPr>
        <w:pStyle w:val="ConsNonformat"/>
        <w:widowControl/>
      </w:pPr>
    </w:p>
    <w:p w:rsidR="00FB6B18" w:rsidRDefault="00FB6B18" w:rsidP="00FB6B18">
      <w:pPr>
        <w:pStyle w:val="ConsNonformat"/>
        <w:widowControl/>
      </w:pPr>
    </w:p>
    <w:p w:rsidR="00FB6B18" w:rsidRDefault="00FB6B18" w:rsidP="00FB6B18">
      <w:pPr>
        <w:pStyle w:val="ConsNormal"/>
        <w:widowControl/>
        <w:ind w:firstLine="0"/>
        <w:jc w:val="right"/>
      </w:pPr>
      <w:r>
        <w:t>Таблица 2</w:t>
      </w:r>
    </w:p>
    <w:p w:rsidR="00FB6B18" w:rsidRDefault="00FB6B18" w:rsidP="00FB6B18">
      <w:pPr>
        <w:pStyle w:val="ConsNormal"/>
        <w:widowControl/>
        <w:ind w:firstLine="0"/>
        <w:jc w:val="center"/>
      </w:pPr>
      <w:r>
        <w:t>Допустимые значения уровней звукового давления</w:t>
      </w:r>
    </w:p>
    <w:p w:rsidR="00FB6B18" w:rsidRDefault="00FB6B18" w:rsidP="00FB6B18">
      <w:pPr>
        <w:pStyle w:val="ConsNormal"/>
        <w:widowControl/>
        <w:ind w:firstLine="0"/>
        <w:jc w:val="center"/>
      </w:pPr>
      <w:r>
        <w:t>в октавных полосах частот и уровня звука,</w:t>
      </w:r>
    </w:p>
    <w:p w:rsidR="00FB6B18" w:rsidRDefault="00FB6B18" w:rsidP="00FB6B18">
      <w:pPr>
        <w:pStyle w:val="ConsNormal"/>
        <w:widowControl/>
        <w:ind w:firstLine="0"/>
        <w:jc w:val="center"/>
      </w:pPr>
      <w:proofErr w:type="gramStart"/>
      <w:r>
        <w:t>создаваемого</w:t>
      </w:r>
      <w:proofErr w:type="gramEnd"/>
      <w:r>
        <w:t xml:space="preserve"> ПЭВМ</w:t>
      </w:r>
    </w:p>
    <w:p w:rsidR="00FB6B18" w:rsidRDefault="00FB6B18" w:rsidP="00FB6B18">
      <w:pPr>
        <w:pStyle w:val="ConsNonformat"/>
        <w:widowControl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80"/>
        <w:gridCol w:w="810"/>
        <w:gridCol w:w="945"/>
        <w:gridCol w:w="945"/>
        <w:gridCol w:w="945"/>
        <w:gridCol w:w="1080"/>
        <w:gridCol w:w="1080"/>
        <w:gridCol w:w="1080"/>
        <w:gridCol w:w="1080"/>
        <w:gridCol w:w="1080"/>
      </w:tblGrid>
      <w:tr w:rsidR="00FB6B18" w:rsidTr="00D21E5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90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Уровни звукового давления в октавных полосах           </w:t>
            </w:r>
            <w:r>
              <w:br/>
              <w:t xml:space="preserve">со среднегеометрическими частотами                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Уровни </w:t>
            </w:r>
            <w:r>
              <w:br/>
              <w:t>звука в</w:t>
            </w:r>
            <w:r>
              <w:br/>
            </w:r>
            <w:proofErr w:type="spellStart"/>
            <w:r>
              <w:t>дБА</w:t>
            </w:r>
            <w:proofErr w:type="spellEnd"/>
            <w:r>
              <w:t xml:space="preserve">  </w:t>
            </w:r>
          </w:p>
        </w:tc>
      </w:tr>
      <w:tr w:rsidR="00FB6B18" w:rsidTr="00D21E59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>31,5 Гц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>63 Гц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>125 Гц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>250 Гц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>500 Гц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>1000 Гц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>2000 Гц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>4000 Гц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>8000 Гц</w:t>
            </w: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</w:p>
        </w:tc>
      </w:tr>
      <w:tr w:rsidR="00FB6B18" w:rsidTr="00D21E59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86 дБ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>71 дБ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61 дБ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>54 дБ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>49 дБ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45 дБ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42 дБ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40 дБ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38 дБ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50   </w:t>
            </w:r>
          </w:p>
        </w:tc>
      </w:tr>
    </w:tbl>
    <w:p w:rsidR="00FB6B18" w:rsidRDefault="00FB6B18" w:rsidP="00FB6B18">
      <w:pPr>
        <w:pStyle w:val="ConsNonformat"/>
        <w:widowControl/>
      </w:pPr>
    </w:p>
    <w:p w:rsidR="00FB6B18" w:rsidRDefault="00FB6B18" w:rsidP="00FB6B18">
      <w:pPr>
        <w:pStyle w:val="ConsNormal"/>
        <w:widowControl/>
        <w:ind w:firstLine="540"/>
        <w:jc w:val="both"/>
      </w:pPr>
      <w:r>
        <w:lastRenderedPageBreak/>
        <w:t>Измерение уровня звука и уровней звукового давления проводится на расстоянии 50 см от поверхности оборудования и на высоте расположения источник</w:t>
      </w:r>
      <w:proofErr w:type="gramStart"/>
      <w:r>
        <w:t>а(</w:t>
      </w:r>
      <w:proofErr w:type="gramEnd"/>
      <w:r>
        <w:t>ков) звука.</w:t>
      </w:r>
    </w:p>
    <w:p w:rsidR="00FB6B18" w:rsidRDefault="00FB6B18" w:rsidP="00FB6B18">
      <w:pPr>
        <w:pStyle w:val="ConsNonformat"/>
        <w:widowControl/>
      </w:pPr>
    </w:p>
    <w:p w:rsidR="00FB6B18" w:rsidRDefault="00FB6B18" w:rsidP="00FB6B18">
      <w:pPr>
        <w:pStyle w:val="ConsNonformat"/>
        <w:widowControl/>
      </w:pPr>
    </w:p>
    <w:p w:rsidR="00FB6B18" w:rsidRDefault="00FB6B18" w:rsidP="00FB6B18">
      <w:pPr>
        <w:pStyle w:val="ConsNormal"/>
        <w:widowControl/>
        <w:ind w:firstLine="0"/>
        <w:jc w:val="right"/>
      </w:pPr>
      <w:r>
        <w:t>Таблица 3</w:t>
      </w:r>
    </w:p>
    <w:p w:rsidR="00FB6B18" w:rsidRDefault="00FB6B18" w:rsidP="00FB6B18">
      <w:pPr>
        <w:pStyle w:val="ConsNonformat"/>
        <w:widowControl/>
      </w:pPr>
    </w:p>
    <w:p w:rsidR="00FB6B18" w:rsidRDefault="00FB6B18" w:rsidP="00FB6B18">
      <w:pPr>
        <w:pStyle w:val="ConsNormal"/>
        <w:widowControl/>
        <w:ind w:firstLine="0"/>
        <w:jc w:val="center"/>
      </w:pPr>
      <w:r>
        <w:t>Временные допустимые уровни ЭМП, создаваемых ПЭВМ</w:t>
      </w:r>
    </w:p>
    <w:p w:rsidR="00FB6B18" w:rsidRDefault="00FB6B18" w:rsidP="00FB6B18">
      <w:pPr>
        <w:pStyle w:val="ConsNonformat"/>
        <w:widowControl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025"/>
        <w:gridCol w:w="5400"/>
        <w:gridCol w:w="1350"/>
      </w:tblGrid>
      <w:tr w:rsidR="00FB6B18" w:rsidTr="00D21E59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7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Наименование параметров    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ВДУ ЭМП </w:t>
            </w:r>
          </w:p>
        </w:tc>
      </w:tr>
      <w:tr w:rsidR="00FB6B18" w:rsidTr="00D21E59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0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Напряженность </w:t>
            </w:r>
            <w:r>
              <w:br/>
              <w:t>электрического</w:t>
            </w:r>
            <w:r>
              <w:br/>
              <w:t xml:space="preserve">поля          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в диапазоне частот 5 Гц - 2 кГц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>25</w:t>
            </w:r>
            <w:proofErr w:type="gramStart"/>
            <w:r>
              <w:t xml:space="preserve"> В</w:t>
            </w:r>
            <w:proofErr w:type="gramEnd"/>
            <w:r>
              <w:t xml:space="preserve">/м  </w:t>
            </w:r>
          </w:p>
        </w:tc>
      </w:tr>
      <w:tr w:rsidR="00FB6B18" w:rsidTr="00D21E59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0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в диапазоне частот 2 кГц - 400 кГц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>2,5</w:t>
            </w:r>
            <w:proofErr w:type="gramStart"/>
            <w:r>
              <w:t xml:space="preserve"> В</w:t>
            </w:r>
            <w:proofErr w:type="gramEnd"/>
            <w:r>
              <w:t xml:space="preserve">/м </w:t>
            </w:r>
          </w:p>
        </w:tc>
      </w:tr>
      <w:tr w:rsidR="00FB6B18" w:rsidTr="00D21E59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0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>Плотность ма</w:t>
            </w:r>
            <w:proofErr w:type="gramStart"/>
            <w:r>
              <w:t>г-</w:t>
            </w:r>
            <w:proofErr w:type="gramEnd"/>
            <w:r>
              <w:br/>
            </w:r>
            <w:proofErr w:type="spellStart"/>
            <w:r>
              <w:t>нитного</w:t>
            </w:r>
            <w:proofErr w:type="spellEnd"/>
            <w:r>
              <w:t xml:space="preserve"> потока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в диапазоне частот 5 Гц - 2 кГц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250 нТл </w:t>
            </w:r>
          </w:p>
        </w:tc>
      </w:tr>
      <w:tr w:rsidR="00FB6B18" w:rsidTr="00D21E59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0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в диапазоне частот 2 кГц - 400 кГц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25 нТл </w:t>
            </w:r>
          </w:p>
        </w:tc>
      </w:tr>
      <w:tr w:rsidR="00FB6B18" w:rsidTr="00D21E59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7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Электростатический потенциал экрана видеомонитора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>500</w:t>
            </w:r>
            <w:proofErr w:type="gramStart"/>
            <w:r>
              <w:t xml:space="preserve"> В</w:t>
            </w:r>
            <w:proofErr w:type="gramEnd"/>
            <w:r>
              <w:t xml:space="preserve">   </w:t>
            </w:r>
          </w:p>
        </w:tc>
      </w:tr>
    </w:tbl>
    <w:p w:rsidR="00FB6B18" w:rsidRDefault="00FB6B18" w:rsidP="00FB6B18">
      <w:pPr>
        <w:pStyle w:val="ConsNonformat"/>
        <w:widowControl/>
      </w:pPr>
    </w:p>
    <w:p w:rsidR="00FB6B18" w:rsidRDefault="00FB6B18" w:rsidP="00FB6B18">
      <w:pPr>
        <w:pStyle w:val="ConsNonformat"/>
        <w:widowControl/>
      </w:pPr>
    </w:p>
    <w:p w:rsidR="00FB6B18" w:rsidRDefault="00FB6B18" w:rsidP="00FB6B18">
      <w:pPr>
        <w:pStyle w:val="ConsNormal"/>
        <w:widowControl/>
        <w:ind w:firstLine="0"/>
        <w:jc w:val="right"/>
      </w:pPr>
      <w:r>
        <w:t>Таблица 4</w:t>
      </w:r>
    </w:p>
    <w:p w:rsidR="00FB6B18" w:rsidRDefault="00FB6B18" w:rsidP="00FB6B18">
      <w:pPr>
        <w:pStyle w:val="ConsNonformat"/>
        <w:widowControl/>
      </w:pPr>
    </w:p>
    <w:p w:rsidR="00FB6B18" w:rsidRDefault="00FB6B18" w:rsidP="00FB6B18">
      <w:pPr>
        <w:pStyle w:val="ConsNormal"/>
        <w:widowControl/>
        <w:ind w:firstLine="0"/>
        <w:jc w:val="center"/>
      </w:pPr>
      <w:r>
        <w:t>Допустимые визуальные параметры</w:t>
      </w:r>
    </w:p>
    <w:p w:rsidR="00FB6B18" w:rsidRDefault="00FB6B18" w:rsidP="00FB6B18">
      <w:pPr>
        <w:pStyle w:val="ConsNormal"/>
        <w:widowControl/>
        <w:ind w:firstLine="0"/>
        <w:jc w:val="center"/>
      </w:pPr>
      <w:r>
        <w:t>устройств отображения информации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6831"/>
        <w:gridCol w:w="3119"/>
      </w:tblGrid>
      <w:tr w:rsidR="00FB6B18" w:rsidTr="00D21E59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N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6B18" w:rsidRDefault="00FB6B18" w:rsidP="00D21E59">
            <w:pPr>
              <w:pStyle w:val="ConsCell"/>
              <w:widowControl/>
              <w:jc w:val="center"/>
            </w:pPr>
            <w:r>
              <w:t>Параметры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6B18" w:rsidRDefault="00FB6B18" w:rsidP="00D21E59">
            <w:pPr>
              <w:pStyle w:val="ConsCell"/>
              <w:widowControl/>
              <w:jc w:val="center"/>
            </w:pPr>
            <w:r>
              <w:t>Допустимые значения</w:t>
            </w:r>
          </w:p>
        </w:tc>
      </w:tr>
      <w:tr w:rsidR="00FB6B18" w:rsidTr="00D21E59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1 </w:t>
            </w:r>
          </w:p>
        </w:tc>
        <w:tc>
          <w:tcPr>
            <w:tcW w:w="6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Яркость белого поля                  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Не менее 35 кд/кв. м </w:t>
            </w:r>
          </w:p>
        </w:tc>
      </w:tr>
      <w:tr w:rsidR="00FB6B18" w:rsidTr="00D21E59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2 </w:t>
            </w:r>
          </w:p>
        </w:tc>
        <w:tc>
          <w:tcPr>
            <w:tcW w:w="6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Неравномерность яркости рабочего поля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Не более +/- 20%     </w:t>
            </w:r>
          </w:p>
        </w:tc>
      </w:tr>
      <w:tr w:rsidR="00FB6B18" w:rsidTr="00D21E59">
        <w:trPr>
          <w:trHeight w:val="21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3 </w:t>
            </w:r>
          </w:p>
        </w:tc>
        <w:tc>
          <w:tcPr>
            <w:tcW w:w="6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Контрастность     (для    монохромного режима)                              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Не менее 3:1         </w:t>
            </w:r>
          </w:p>
        </w:tc>
      </w:tr>
      <w:tr w:rsidR="00FB6B18" w:rsidTr="00D21E59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4 </w:t>
            </w:r>
          </w:p>
        </w:tc>
        <w:tc>
          <w:tcPr>
            <w:tcW w:w="6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>Временная  нестабильность  изображения (непреднамеренное изменение во времени яркости изображения на экране дисплея)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Не должна фиксироваться               </w:t>
            </w:r>
          </w:p>
        </w:tc>
      </w:tr>
      <w:tr w:rsidR="00FB6B18" w:rsidTr="00D21E59">
        <w:trPr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5 </w:t>
            </w:r>
          </w:p>
        </w:tc>
        <w:tc>
          <w:tcPr>
            <w:tcW w:w="6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Пространственная нестабильность изображения (непреднамеренные изменения     положения      фрагментов изображения на экране)               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B18" w:rsidRDefault="00FB6B18" w:rsidP="00D21E59">
            <w:pPr>
              <w:pStyle w:val="ConsCell"/>
              <w:widowControl/>
            </w:pPr>
            <w:r>
              <w:t xml:space="preserve">Не более 2 </w:t>
            </w:r>
            <w:proofErr w:type="spellStart"/>
            <w:r>
              <w:t>x</w:t>
            </w:r>
            <w:proofErr w:type="spellEnd"/>
            <w:r>
              <w:t xml:space="preserve"> 1E(-4L), где L - проектное    расстояние наблюдения, </w:t>
            </w:r>
            <w:proofErr w:type="gramStart"/>
            <w:r>
              <w:t>мм</w:t>
            </w:r>
            <w:proofErr w:type="gramEnd"/>
            <w:r>
              <w:t xml:space="preserve">  </w:t>
            </w:r>
          </w:p>
        </w:tc>
      </w:tr>
    </w:tbl>
    <w:p w:rsidR="00FB6B18" w:rsidRDefault="00FB6B18" w:rsidP="00FB6B18">
      <w:pPr>
        <w:pStyle w:val="ConsNormal"/>
        <w:widowControl/>
        <w:ind w:firstLine="0"/>
        <w:jc w:val="center"/>
      </w:pPr>
    </w:p>
    <w:p w:rsidR="00FB6B18" w:rsidRDefault="00FB6B18" w:rsidP="00FB6B18">
      <w:pPr>
        <w:pStyle w:val="ConsNormal"/>
        <w:widowControl/>
        <w:ind w:firstLine="0"/>
        <w:jc w:val="center"/>
      </w:pPr>
    </w:p>
    <w:p w:rsidR="00FB6B18" w:rsidRDefault="00FB6B18" w:rsidP="00FB6B18">
      <w:pPr>
        <w:pStyle w:val="ConsNonformat"/>
        <w:widowControl/>
      </w:pPr>
    </w:p>
    <w:p w:rsidR="00FB6B18" w:rsidRDefault="00FB6B18" w:rsidP="00FB6B18">
      <w:pPr>
        <w:pStyle w:val="ConsNonformat"/>
        <w:widowControl/>
      </w:pPr>
    </w:p>
    <w:p w:rsidR="00FB6B18" w:rsidRDefault="00FB6B18" w:rsidP="00FB6B18">
      <w:pPr>
        <w:pStyle w:val="ConsNormal"/>
        <w:widowControl/>
        <w:ind w:firstLine="540"/>
        <w:jc w:val="both"/>
      </w:pPr>
      <w:r>
        <w:t>Для дисплеев на ЭЛТ частота обновления изображения должна быть не менее 75 Гц при всех режимах разрешения экрана, гарантируемых нормативной документацией на конкретный тип дисплея, и не менее 60 Гц для дисплеев на плоских дискретных экранах (жидкокристаллических, плазменных и т.п.).</w:t>
      </w:r>
    </w:p>
    <w:p w:rsidR="00873CCB" w:rsidRDefault="00873CCB" w:rsidP="00873CCB">
      <w:pPr>
        <w:pStyle w:val="ConsNormal"/>
        <w:widowControl/>
        <w:ind w:firstLine="540"/>
        <w:jc w:val="both"/>
      </w:pPr>
    </w:p>
    <w:sectPr w:rsidR="00873CCB" w:rsidSect="00873C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3CCB"/>
    <w:rsid w:val="000F6CC6"/>
    <w:rsid w:val="00307BB6"/>
    <w:rsid w:val="00873CCB"/>
    <w:rsid w:val="00C1088D"/>
    <w:rsid w:val="00DA5ADE"/>
    <w:rsid w:val="00FB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C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3C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873C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873C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2008-12-02T17:19:00Z</dcterms:created>
  <dcterms:modified xsi:type="dcterms:W3CDTF">2008-12-02T18:10:00Z</dcterms:modified>
</cp:coreProperties>
</file>